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955" w:tblpY="2325"/>
        <w:tblOverlap w:val="never"/>
        <w:tblW w:w="83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
        <w:gridCol w:w="655"/>
        <w:gridCol w:w="6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blHeader/>
        </w:trPr>
        <w:tc>
          <w:tcPr>
            <w:tcW w:w="913" w:type="dxa"/>
            <w:vAlign w:val="center"/>
          </w:tcPr>
          <w:p>
            <w:pPr>
              <w:pStyle w:val="7"/>
              <w:rPr>
                <w:color w:val="auto"/>
                <w:sz w:val="24"/>
                <w:szCs w:val="24"/>
                <w:highlight w:val="none"/>
              </w:rPr>
            </w:pPr>
            <w:r>
              <w:rPr>
                <w:rFonts w:hint="eastAsia"/>
                <w:color w:val="auto"/>
                <w:sz w:val="24"/>
                <w:szCs w:val="24"/>
                <w:highlight w:val="none"/>
              </w:rPr>
              <w:t>项目</w:t>
            </w:r>
          </w:p>
        </w:tc>
        <w:tc>
          <w:tcPr>
            <w:tcW w:w="655" w:type="dxa"/>
            <w:vAlign w:val="center"/>
          </w:tcPr>
          <w:p>
            <w:pPr>
              <w:pStyle w:val="7"/>
              <w:rPr>
                <w:color w:val="auto"/>
                <w:sz w:val="24"/>
                <w:szCs w:val="24"/>
                <w:highlight w:val="none"/>
              </w:rPr>
            </w:pPr>
            <w:r>
              <w:rPr>
                <w:rFonts w:hint="eastAsia"/>
                <w:color w:val="auto"/>
                <w:sz w:val="24"/>
                <w:szCs w:val="24"/>
                <w:highlight w:val="none"/>
              </w:rPr>
              <w:t>分值</w:t>
            </w:r>
          </w:p>
        </w:tc>
        <w:tc>
          <w:tcPr>
            <w:tcW w:w="6748" w:type="dxa"/>
            <w:vAlign w:val="center"/>
          </w:tcPr>
          <w:p>
            <w:pPr>
              <w:pStyle w:val="7"/>
              <w:rPr>
                <w:color w:val="auto"/>
                <w:sz w:val="24"/>
                <w:szCs w:val="24"/>
                <w:highlight w:val="none"/>
              </w:rPr>
            </w:pPr>
            <w:bookmarkStart w:id="0" w:name="_GoBack"/>
            <w:bookmarkEnd w:id="0"/>
            <w:r>
              <w:rPr>
                <w:rFonts w:hint="eastAsia"/>
                <w:color w:val="auto"/>
                <w:sz w:val="24"/>
                <w:szCs w:val="24"/>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913" w:type="dxa"/>
            <w:vMerge w:val="restart"/>
            <w:vAlign w:val="center"/>
          </w:tcPr>
          <w:p>
            <w:pPr>
              <w:pStyle w:val="7"/>
              <w:rPr>
                <w:color w:val="auto"/>
                <w:sz w:val="24"/>
                <w:szCs w:val="24"/>
                <w:highlight w:val="none"/>
              </w:rPr>
            </w:pPr>
            <w:r>
              <w:rPr>
                <w:rFonts w:hint="eastAsia"/>
                <w:color w:val="auto"/>
                <w:sz w:val="24"/>
                <w:szCs w:val="24"/>
                <w:highlight w:val="none"/>
              </w:rPr>
              <w:t>业绩</w:t>
            </w:r>
          </w:p>
        </w:tc>
        <w:tc>
          <w:tcPr>
            <w:tcW w:w="655" w:type="dxa"/>
            <w:vMerge w:val="restart"/>
            <w:vAlign w:val="center"/>
          </w:tcPr>
          <w:p>
            <w:pPr>
              <w:pStyle w:val="7"/>
              <w:rPr>
                <w:color w:val="auto"/>
                <w:sz w:val="24"/>
                <w:szCs w:val="24"/>
                <w:highlight w:val="none"/>
              </w:rPr>
            </w:pPr>
            <w:r>
              <w:rPr>
                <w:color w:val="auto"/>
                <w:sz w:val="24"/>
                <w:szCs w:val="24"/>
                <w:highlight w:val="none"/>
              </w:rPr>
              <w:t>35</w:t>
            </w:r>
            <w:r>
              <w:rPr>
                <w:rFonts w:hint="eastAsia"/>
                <w:color w:val="auto"/>
                <w:sz w:val="24"/>
                <w:szCs w:val="24"/>
                <w:highlight w:val="none"/>
              </w:rPr>
              <w:t>分</w:t>
            </w:r>
          </w:p>
        </w:tc>
        <w:tc>
          <w:tcPr>
            <w:tcW w:w="6748" w:type="dxa"/>
            <w:vAlign w:val="center"/>
          </w:tcPr>
          <w:p>
            <w:pPr>
              <w:pStyle w:val="10"/>
              <w:ind w:firstLine="0" w:firstLineChars="0"/>
              <w:rPr>
                <w:color w:val="auto"/>
                <w:sz w:val="24"/>
                <w:szCs w:val="24"/>
                <w:highlight w:val="none"/>
              </w:rPr>
            </w:pPr>
            <w:r>
              <w:rPr>
                <w:rFonts w:hint="eastAsia"/>
                <w:color w:val="auto"/>
                <w:sz w:val="24"/>
                <w:szCs w:val="24"/>
                <w:highlight w:val="none"/>
              </w:rPr>
              <w:t>近五年来为省属国企或央企提供混合所有制改革咨询服务的案例数量，提供1个得</w:t>
            </w:r>
            <w:r>
              <w:rPr>
                <w:color w:val="auto"/>
                <w:sz w:val="24"/>
                <w:szCs w:val="24"/>
                <w:highlight w:val="none"/>
              </w:rPr>
              <w:t>3</w:t>
            </w:r>
            <w:r>
              <w:rPr>
                <w:rFonts w:hint="eastAsia"/>
                <w:color w:val="auto"/>
                <w:sz w:val="24"/>
                <w:szCs w:val="24"/>
                <w:highlight w:val="none"/>
              </w:rPr>
              <w:t>分，本项满分</w:t>
            </w:r>
            <w:r>
              <w:rPr>
                <w:color w:val="auto"/>
                <w:sz w:val="24"/>
                <w:szCs w:val="24"/>
                <w:highlight w:val="none"/>
              </w:rPr>
              <w:t>30</w:t>
            </w:r>
            <w:r>
              <w:rPr>
                <w:rFonts w:hint="eastAsia"/>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13" w:type="dxa"/>
            <w:vMerge w:val="continue"/>
            <w:vAlign w:val="center"/>
          </w:tcPr>
          <w:p>
            <w:pPr>
              <w:pStyle w:val="7"/>
              <w:rPr>
                <w:color w:val="auto"/>
                <w:sz w:val="24"/>
                <w:szCs w:val="24"/>
                <w:highlight w:val="none"/>
              </w:rPr>
            </w:pPr>
          </w:p>
        </w:tc>
        <w:tc>
          <w:tcPr>
            <w:tcW w:w="655" w:type="dxa"/>
            <w:vMerge w:val="continue"/>
            <w:vAlign w:val="center"/>
          </w:tcPr>
          <w:p>
            <w:pPr>
              <w:pStyle w:val="7"/>
              <w:rPr>
                <w:color w:val="auto"/>
                <w:sz w:val="24"/>
                <w:szCs w:val="24"/>
                <w:highlight w:val="none"/>
              </w:rPr>
            </w:pPr>
          </w:p>
        </w:tc>
        <w:tc>
          <w:tcPr>
            <w:tcW w:w="6748" w:type="dxa"/>
            <w:vAlign w:val="center"/>
          </w:tcPr>
          <w:p>
            <w:pPr>
              <w:pStyle w:val="10"/>
              <w:ind w:firstLine="0" w:firstLineChars="0"/>
              <w:rPr>
                <w:color w:val="auto"/>
                <w:sz w:val="24"/>
                <w:szCs w:val="24"/>
                <w:highlight w:val="none"/>
              </w:rPr>
            </w:pPr>
            <w:r>
              <w:rPr>
                <w:rFonts w:hint="eastAsia"/>
                <w:color w:val="auto"/>
                <w:sz w:val="24"/>
                <w:szCs w:val="24"/>
                <w:highlight w:val="none"/>
              </w:rPr>
              <w:t>进入湖南省国资委推荐机构名单计</w:t>
            </w:r>
            <w:r>
              <w:rPr>
                <w:color w:val="auto"/>
                <w:sz w:val="24"/>
                <w:szCs w:val="24"/>
                <w:highlight w:val="none"/>
              </w:rPr>
              <w:t>5</w:t>
            </w:r>
            <w:r>
              <w:rPr>
                <w:rFonts w:hint="eastAsia"/>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13" w:type="dxa"/>
            <w:vMerge w:val="restart"/>
            <w:vAlign w:val="center"/>
          </w:tcPr>
          <w:p>
            <w:pPr>
              <w:pStyle w:val="7"/>
              <w:rPr>
                <w:color w:val="auto"/>
                <w:sz w:val="24"/>
                <w:szCs w:val="24"/>
                <w:highlight w:val="none"/>
              </w:rPr>
            </w:pPr>
            <w:r>
              <w:rPr>
                <w:rFonts w:hint="eastAsia"/>
                <w:color w:val="auto"/>
                <w:sz w:val="24"/>
                <w:szCs w:val="24"/>
                <w:highlight w:val="none"/>
              </w:rPr>
              <w:t>工作方案</w:t>
            </w:r>
          </w:p>
        </w:tc>
        <w:tc>
          <w:tcPr>
            <w:tcW w:w="655" w:type="dxa"/>
            <w:vMerge w:val="restart"/>
            <w:vAlign w:val="center"/>
          </w:tcPr>
          <w:p>
            <w:pPr>
              <w:pStyle w:val="7"/>
              <w:rPr>
                <w:color w:val="auto"/>
                <w:sz w:val="24"/>
                <w:szCs w:val="24"/>
                <w:highlight w:val="none"/>
              </w:rPr>
            </w:pPr>
            <w:r>
              <w:rPr>
                <w:color w:val="auto"/>
                <w:sz w:val="24"/>
                <w:szCs w:val="24"/>
                <w:highlight w:val="none"/>
              </w:rPr>
              <w:t>35</w:t>
            </w:r>
            <w:r>
              <w:rPr>
                <w:rFonts w:hint="eastAsia"/>
                <w:color w:val="auto"/>
                <w:sz w:val="24"/>
                <w:szCs w:val="24"/>
                <w:highlight w:val="none"/>
              </w:rPr>
              <w:t>分</w:t>
            </w:r>
          </w:p>
        </w:tc>
        <w:tc>
          <w:tcPr>
            <w:tcW w:w="6748" w:type="dxa"/>
            <w:vAlign w:val="center"/>
          </w:tcPr>
          <w:p>
            <w:pPr>
              <w:pStyle w:val="10"/>
              <w:ind w:firstLine="0" w:firstLineChars="0"/>
              <w:rPr>
                <w:color w:val="auto"/>
                <w:sz w:val="24"/>
                <w:szCs w:val="24"/>
                <w:highlight w:val="none"/>
              </w:rPr>
            </w:pPr>
            <w:r>
              <w:rPr>
                <w:rFonts w:hint="eastAsia"/>
                <w:color w:val="auto"/>
                <w:sz w:val="24"/>
                <w:szCs w:val="24"/>
                <w:highlight w:val="none"/>
              </w:rPr>
              <w:t>根据咨询机构针对本项目的整体服务设想、实施方案进行评分，对项目的熟悉程度、重点难点分析、解决情况进行综合评分，满分2</w:t>
            </w:r>
            <w:r>
              <w:rPr>
                <w:color w:val="auto"/>
                <w:sz w:val="24"/>
                <w:szCs w:val="24"/>
                <w:highlight w:val="none"/>
              </w:rPr>
              <w:t>0</w:t>
            </w:r>
            <w:r>
              <w:rPr>
                <w:rFonts w:hint="eastAsia"/>
                <w:color w:val="auto"/>
                <w:sz w:val="24"/>
                <w:szCs w:val="24"/>
                <w:highlight w:val="none"/>
              </w:rPr>
              <w:t xml:space="preserve">分 。                                           </w:t>
            </w:r>
          </w:p>
          <w:p>
            <w:pPr>
              <w:pStyle w:val="10"/>
              <w:ind w:firstLine="0" w:firstLineChars="0"/>
              <w:rPr>
                <w:color w:val="auto"/>
                <w:sz w:val="24"/>
                <w:szCs w:val="24"/>
                <w:highlight w:val="none"/>
              </w:rPr>
            </w:pPr>
            <w:r>
              <w:rPr>
                <w:rFonts w:hint="eastAsia"/>
                <w:color w:val="auto"/>
                <w:sz w:val="24"/>
                <w:szCs w:val="24"/>
                <w:highlight w:val="none"/>
              </w:rPr>
              <w:t>1.对项目重点难点思路清晰、有针对性建议的计18-20 分；</w:t>
            </w:r>
          </w:p>
          <w:p>
            <w:pPr>
              <w:pStyle w:val="10"/>
              <w:ind w:firstLine="0" w:firstLineChars="0"/>
              <w:jc w:val="both"/>
              <w:rPr>
                <w:color w:val="auto"/>
                <w:sz w:val="24"/>
                <w:szCs w:val="24"/>
                <w:highlight w:val="none"/>
              </w:rPr>
            </w:pPr>
            <w:r>
              <w:rPr>
                <w:rFonts w:hint="eastAsia"/>
                <w:color w:val="auto"/>
                <w:sz w:val="24"/>
                <w:szCs w:val="24"/>
                <w:highlight w:val="none"/>
              </w:rPr>
              <w:t>2.对项目基本情况有一定了解的计12-18分；</w:t>
            </w:r>
          </w:p>
          <w:p>
            <w:pPr>
              <w:pStyle w:val="10"/>
              <w:ind w:firstLine="0" w:firstLineChars="0"/>
              <w:jc w:val="both"/>
              <w:rPr>
                <w:color w:val="auto"/>
                <w:sz w:val="24"/>
                <w:szCs w:val="24"/>
                <w:highlight w:val="none"/>
              </w:rPr>
            </w:pPr>
            <w:r>
              <w:rPr>
                <w:rFonts w:hint="eastAsia"/>
                <w:color w:val="auto"/>
                <w:sz w:val="24"/>
                <w:szCs w:val="24"/>
                <w:highlight w:val="none"/>
              </w:rPr>
              <w:t>3.评价一般的计1-12分。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13" w:type="dxa"/>
            <w:vMerge w:val="continue"/>
            <w:vAlign w:val="center"/>
          </w:tcPr>
          <w:p>
            <w:pPr>
              <w:pStyle w:val="7"/>
              <w:rPr>
                <w:color w:val="auto"/>
                <w:sz w:val="24"/>
                <w:szCs w:val="24"/>
                <w:highlight w:val="none"/>
              </w:rPr>
            </w:pPr>
          </w:p>
        </w:tc>
        <w:tc>
          <w:tcPr>
            <w:tcW w:w="655" w:type="dxa"/>
            <w:vMerge w:val="continue"/>
            <w:vAlign w:val="center"/>
          </w:tcPr>
          <w:p>
            <w:pPr>
              <w:pStyle w:val="7"/>
              <w:rPr>
                <w:color w:val="auto"/>
                <w:sz w:val="24"/>
                <w:szCs w:val="24"/>
                <w:highlight w:val="none"/>
              </w:rPr>
            </w:pPr>
          </w:p>
        </w:tc>
        <w:tc>
          <w:tcPr>
            <w:tcW w:w="6748" w:type="dxa"/>
            <w:vAlign w:val="center"/>
          </w:tcPr>
          <w:p>
            <w:pPr>
              <w:pStyle w:val="10"/>
              <w:ind w:firstLine="0" w:firstLineChars="0"/>
              <w:rPr>
                <w:color w:val="auto"/>
                <w:sz w:val="24"/>
                <w:szCs w:val="24"/>
                <w:highlight w:val="none"/>
              </w:rPr>
            </w:pPr>
            <w:r>
              <w:rPr>
                <w:rFonts w:hint="eastAsia"/>
                <w:color w:val="auto"/>
                <w:sz w:val="24"/>
                <w:szCs w:val="24"/>
                <w:highlight w:val="none"/>
              </w:rPr>
              <w:t>服务方案包括主要内容、体现的亮点、时间安排、工作流程、服务质量承诺及优势，要求工作方案详实且符合委托单位发展实际，满分1</w:t>
            </w:r>
            <w:r>
              <w:rPr>
                <w:color w:val="auto"/>
                <w:sz w:val="24"/>
                <w:szCs w:val="24"/>
                <w:highlight w:val="none"/>
              </w:rPr>
              <w:t>5</w:t>
            </w:r>
            <w:r>
              <w:rPr>
                <w:rFonts w:hint="eastAsia"/>
                <w:color w:val="auto"/>
                <w:sz w:val="24"/>
                <w:szCs w:val="24"/>
                <w:highlight w:val="none"/>
              </w:rPr>
              <w:t xml:space="preserve">分。                                     </w:t>
            </w:r>
          </w:p>
          <w:p>
            <w:pPr>
              <w:pStyle w:val="10"/>
              <w:ind w:firstLine="0" w:firstLineChars="0"/>
              <w:rPr>
                <w:color w:val="auto"/>
                <w:sz w:val="24"/>
                <w:szCs w:val="24"/>
                <w:highlight w:val="none"/>
              </w:rPr>
            </w:pPr>
            <w:r>
              <w:rPr>
                <w:rFonts w:hint="eastAsia"/>
                <w:color w:val="auto"/>
                <w:sz w:val="24"/>
                <w:szCs w:val="24"/>
                <w:highlight w:val="none"/>
              </w:rPr>
              <w:t>1.方案科学合理、思路清晰、可行性强计</w:t>
            </w:r>
            <w:r>
              <w:rPr>
                <w:color w:val="auto"/>
                <w:sz w:val="24"/>
                <w:szCs w:val="24"/>
                <w:highlight w:val="none"/>
              </w:rPr>
              <w:t>12</w:t>
            </w:r>
            <w:r>
              <w:rPr>
                <w:rFonts w:hint="eastAsia"/>
                <w:color w:val="auto"/>
                <w:sz w:val="24"/>
                <w:szCs w:val="24"/>
                <w:highlight w:val="none"/>
              </w:rPr>
              <w:t>-</w:t>
            </w:r>
            <w:r>
              <w:rPr>
                <w:color w:val="auto"/>
                <w:sz w:val="24"/>
                <w:szCs w:val="24"/>
                <w:highlight w:val="none"/>
              </w:rPr>
              <w:t>15</w:t>
            </w:r>
            <w:r>
              <w:rPr>
                <w:rFonts w:hint="eastAsia"/>
                <w:color w:val="auto"/>
                <w:sz w:val="24"/>
                <w:szCs w:val="24"/>
                <w:highlight w:val="none"/>
              </w:rPr>
              <w:t>分；</w:t>
            </w:r>
          </w:p>
          <w:p>
            <w:pPr>
              <w:pStyle w:val="10"/>
              <w:ind w:firstLine="0" w:firstLineChars="0"/>
              <w:rPr>
                <w:color w:val="auto"/>
                <w:sz w:val="24"/>
                <w:szCs w:val="24"/>
                <w:highlight w:val="none"/>
              </w:rPr>
            </w:pPr>
            <w:r>
              <w:rPr>
                <w:rFonts w:hint="eastAsia"/>
                <w:color w:val="auto"/>
                <w:sz w:val="24"/>
                <w:szCs w:val="24"/>
                <w:highlight w:val="none"/>
              </w:rPr>
              <w:t>2.基本完整计</w:t>
            </w:r>
            <w:r>
              <w:rPr>
                <w:color w:val="auto"/>
                <w:sz w:val="24"/>
                <w:szCs w:val="24"/>
                <w:highlight w:val="none"/>
              </w:rPr>
              <w:t>8</w:t>
            </w:r>
            <w:r>
              <w:rPr>
                <w:rFonts w:hint="eastAsia"/>
                <w:color w:val="auto"/>
                <w:sz w:val="24"/>
                <w:szCs w:val="24"/>
                <w:highlight w:val="none"/>
              </w:rPr>
              <w:t>-</w:t>
            </w:r>
            <w:r>
              <w:rPr>
                <w:color w:val="auto"/>
                <w:sz w:val="24"/>
                <w:szCs w:val="24"/>
                <w:highlight w:val="none"/>
              </w:rPr>
              <w:t>11</w:t>
            </w:r>
            <w:r>
              <w:rPr>
                <w:rFonts w:hint="eastAsia"/>
                <w:color w:val="auto"/>
                <w:sz w:val="24"/>
                <w:szCs w:val="24"/>
                <w:highlight w:val="none"/>
              </w:rPr>
              <w:t>分；</w:t>
            </w:r>
          </w:p>
          <w:p>
            <w:pPr>
              <w:pStyle w:val="10"/>
              <w:ind w:firstLine="0" w:firstLineChars="0"/>
              <w:rPr>
                <w:color w:val="auto"/>
                <w:sz w:val="24"/>
                <w:szCs w:val="24"/>
                <w:highlight w:val="none"/>
              </w:rPr>
            </w:pPr>
            <w:r>
              <w:rPr>
                <w:rFonts w:hint="eastAsia"/>
                <w:color w:val="auto"/>
                <w:sz w:val="24"/>
                <w:szCs w:val="24"/>
                <w:highlight w:val="none"/>
              </w:rPr>
              <w:t>3.略有不足计</w:t>
            </w:r>
            <w:r>
              <w:rPr>
                <w:color w:val="auto"/>
                <w:sz w:val="24"/>
                <w:szCs w:val="24"/>
                <w:highlight w:val="none"/>
              </w:rPr>
              <w:t>5</w:t>
            </w:r>
            <w:r>
              <w:rPr>
                <w:rFonts w:hint="eastAsia"/>
                <w:color w:val="auto"/>
                <w:sz w:val="24"/>
                <w:szCs w:val="24"/>
                <w:highlight w:val="none"/>
              </w:rPr>
              <w:t>-</w:t>
            </w:r>
            <w:r>
              <w:rPr>
                <w:color w:val="auto"/>
                <w:sz w:val="24"/>
                <w:szCs w:val="24"/>
                <w:highlight w:val="none"/>
              </w:rPr>
              <w:t>8</w:t>
            </w:r>
            <w:r>
              <w:rPr>
                <w:rFonts w:hint="eastAsia"/>
                <w:color w:val="auto"/>
                <w:sz w:val="24"/>
                <w:szCs w:val="24"/>
                <w:highlight w:val="none"/>
              </w:rPr>
              <w:t>分；</w:t>
            </w:r>
          </w:p>
          <w:p>
            <w:pPr>
              <w:pStyle w:val="10"/>
              <w:ind w:firstLine="0" w:firstLineChars="0"/>
              <w:rPr>
                <w:color w:val="auto"/>
                <w:sz w:val="24"/>
                <w:szCs w:val="24"/>
                <w:highlight w:val="none"/>
              </w:rPr>
            </w:pPr>
            <w:r>
              <w:rPr>
                <w:rFonts w:hint="eastAsia"/>
                <w:color w:val="auto"/>
                <w:sz w:val="24"/>
                <w:szCs w:val="24"/>
                <w:highlight w:val="none"/>
              </w:rPr>
              <w:t>4.未提供不得分。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13" w:type="dxa"/>
            <w:vMerge w:val="restart"/>
            <w:vAlign w:val="center"/>
          </w:tcPr>
          <w:p>
            <w:pPr>
              <w:pStyle w:val="7"/>
              <w:rPr>
                <w:color w:val="auto"/>
                <w:sz w:val="24"/>
                <w:szCs w:val="24"/>
                <w:highlight w:val="none"/>
              </w:rPr>
            </w:pPr>
            <w:r>
              <w:rPr>
                <w:rFonts w:hint="eastAsia"/>
                <w:color w:val="auto"/>
                <w:sz w:val="24"/>
                <w:szCs w:val="24"/>
                <w:highlight w:val="none"/>
              </w:rPr>
              <w:t>团队</w:t>
            </w:r>
          </w:p>
          <w:p>
            <w:pPr>
              <w:pStyle w:val="7"/>
              <w:rPr>
                <w:color w:val="auto"/>
                <w:sz w:val="24"/>
                <w:szCs w:val="24"/>
                <w:highlight w:val="none"/>
              </w:rPr>
            </w:pPr>
            <w:r>
              <w:rPr>
                <w:rFonts w:hint="eastAsia"/>
                <w:color w:val="auto"/>
                <w:sz w:val="24"/>
                <w:szCs w:val="24"/>
                <w:highlight w:val="none"/>
              </w:rPr>
              <w:t>配置</w:t>
            </w:r>
          </w:p>
        </w:tc>
        <w:tc>
          <w:tcPr>
            <w:tcW w:w="655" w:type="dxa"/>
            <w:vMerge w:val="restart"/>
            <w:vAlign w:val="center"/>
          </w:tcPr>
          <w:p>
            <w:pPr>
              <w:pStyle w:val="7"/>
              <w:rPr>
                <w:color w:val="auto"/>
                <w:sz w:val="24"/>
                <w:szCs w:val="24"/>
                <w:highlight w:val="none"/>
              </w:rPr>
            </w:pPr>
            <w:r>
              <w:rPr>
                <w:color w:val="auto"/>
                <w:sz w:val="24"/>
                <w:szCs w:val="24"/>
                <w:highlight w:val="none"/>
              </w:rPr>
              <w:t>10</w:t>
            </w:r>
            <w:r>
              <w:rPr>
                <w:rFonts w:hint="eastAsia"/>
                <w:color w:val="auto"/>
                <w:sz w:val="24"/>
                <w:szCs w:val="24"/>
                <w:highlight w:val="none"/>
              </w:rPr>
              <w:t>分</w:t>
            </w:r>
          </w:p>
        </w:tc>
        <w:tc>
          <w:tcPr>
            <w:tcW w:w="6748" w:type="dxa"/>
            <w:vAlign w:val="center"/>
          </w:tcPr>
          <w:p>
            <w:pPr>
              <w:pStyle w:val="10"/>
              <w:ind w:firstLine="0" w:firstLineChars="0"/>
              <w:jc w:val="both"/>
              <w:rPr>
                <w:color w:val="auto"/>
                <w:sz w:val="24"/>
                <w:szCs w:val="24"/>
                <w:highlight w:val="none"/>
              </w:rPr>
            </w:pPr>
            <w:r>
              <w:rPr>
                <w:rFonts w:hint="eastAsia"/>
                <w:color w:val="auto"/>
                <w:sz w:val="24"/>
                <w:szCs w:val="24"/>
                <w:highlight w:val="none"/>
              </w:rPr>
              <w:t>团队负责人从业经验：10年以上（含10年）相关工作经验，并具有国有企业混改项目经历。（</w:t>
            </w:r>
            <w:r>
              <w:rPr>
                <w:color w:val="auto"/>
                <w:sz w:val="24"/>
                <w:szCs w:val="24"/>
                <w:highlight w:val="none"/>
              </w:rPr>
              <w:t>4</w:t>
            </w:r>
            <w:r>
              <w:rPr>
                <w:rFonts w:hint="eastAsia"/>
                <w:color w:val="auto"/>
                <w:sz w:val="24"/>
                <w:szCs w:val="24"/>
                <w:highlight w:val="none"/>
              </w:rPr>
              <w:t>分）、6-10年相关工作经验，并具有国有企业混改项目经历。（3分）、3-6年相关工作经验，并具有国有企业混改项目经历。（</w:t>
            </w:r>
            <w:r>
              <w:rPr>
                <w:color w:val="auto"/>
                <w:sz w:val="24"/>
                <w:szCs w:val="24"/>
                <w:highlight w:val="none"/>
              </w:rPr>
              <w:t>2</w:t>
            </w:r>
            <w:r>
              <w:rPr>
                <w:rFonts w:hint="eastAsia"/>
                <w:color w:val="auto"/>
                <w:sz w:val="24"/>
                <w:szCs w:val="24"/>
                <w:highlight w:val="none"/>
              </w:rPr>
              <w:t>分）、3年以下（</w:t>
            </w:r>
            <w:r>
              <w:rPr>
                <w:color w:val="auto"/>
                <w:sz w:val="24"/>
                <w:szCs w:val="24"/>
                <w:highlight w:val="none"/>
              </w:rPr>
              <w:t>1</w:t>
            </w:r>
            <w:r>
              <w:rPr>
                <w:rFonts w:hint="eastAsia"/>
                <w:color w:val="auto"/>
                <w:sz w:val="24"/>
                <w:szCs w:val="24"/>
                <w:highlight w:val="none"/>
              </w:rPr>
              <w:t>分）。本项满分</w:t>
            </w:r>
            <w:r>
              <w:rPr>
                <w:color w:val="auto"/>
                <w:sz w:val="24"/>
                <w:szCs w:val="24"/>
                <w:highlight w:val="none"/>
              </w:rPr>
              <w:t>4</w:t>
            </w:r>
            <w:r>
              <w:rPr>
                <w:rFonts w:hint="eastAsia"/>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13" w:type="dxa"/>
            <w:vMerge w:val="continue"/>
            <w:vAlign w:val="center"/>
          </w:tcPr>
          <w:p>
            <w:pPr>
              <w:pStyle w:val="7"/>
              <w:rPr>
                <w:color w:val="auto"/>
                <w:sz w:val="24"/>
                <w:szCs w:val="24"/>
                <w:highlight w:val="none"/>
              </w:rPr>
            </w:pPr>
          </w:p>
        </w:tc>
        <w:tc>
          <w:tcPr>
            <w:tcW w:w="655" w:type="dxa"/>
            <w:vMerge w:val="continue"/>
            <w:vAlign w:val="center"/>
          </w:tcPr>
          <w:p>
            <w:pPr>
              <w:pStyle w:val="7"/>
              <w:rPr>
                <w:color w:val="auto"/>
                <w:sz w:val="24"/>
                <w:szCs w:val="24"/>
                <w:highlight w:val="none"/>
              </w:rPr>
            </w:pPr>
          </w:p>
        </w:tc>
        <w:tc>
          <w:tcPr>
            <w:tcW w:w="6748" w:type="dxa"/>
            <w:vAlign w:val="center"/>
          </w:tcPr>
          <w:p>
            <w:pPr>
              <w:pStyle w:val="10"/>
              <w:ind w:firstLine="0" w:firstLineChars="0"/>
              <w:jc w:val="both"/>
              <w:rPr>
                <w:color w:val="auto"/>
                <w:sz w:val="24"/>
                <w:szCs w:val="24"/>
                <w:highlight w:val="none"/>
              </w:rPr>
            </w:pPr>
            <w:r>
              <w:rPr>
                <w:rFonts w:hint="eastAsia"/>
                <w:color w:val="auto"/>
                <w:sz w:val="24"/>
                <w:szCs w:val="24"/>
                <w:highlight w:val="none"/>
              </w:rPr>
              <w:t>团队成员中具有注册会计师执业资格的每增加一名加2分，最多加</w:t>
            </w:r>
            <w:r>
              <w:rPr>
                <w:color w:val="auto"/>
                <w:sz w:val="24"/>
                <w:szCs w:val="24"/>
                <w:highlight w:val="none"/>
              </w:rPr>
              <w:t>6</w:t>
            </w:r>
            <w:r>
              <w:rPr>
                <w:rFonts w:hint="eastAsia"/>
                <w:color w:val="auto"/>
                <w:sz w:val="24"/>
                <w:szCs w:val="24"/>
                <w:highlight w:val="none"/>
              </w:rPr>
              <w:t>分。本项满分</w:t>
            </w:r>
            <w:r>
              <w:rPr>
                <w:color w:val="auto"/>
                <w:sz w:val="24"/>
                <w:szCs w:val="24"/>
                <w:highlight w:val="none"/>
              </w:rPr>
              <w:t>6</w:t>
            </w:r>
            <w:r>
              <w:rPr>
                <w:rFonts w:hint="eastAsia"/>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13" w:type="dxa"/>
            <w:vAlign w:val="center"/>
          </w:tcPr>
          <w:p>
            <w:pPr>
              <w:pStyle w:val="7"/>
              <w:rPr>
                <w:color w:val="auto"/>
                <w:sz w:val="24"/>
                <w:szCs w:val="24"/>
                <w:highlight w:val="none"/>
              </w:rPr>
            </w:pPr>
            <w:r>
              <w:rPr>
                <w:rFonts w:hint="eastAsia"/>
                <w:color w:val="auto"/>
                <w:sz w:val="24"/>
                <w:szCs w:val="24"/>
                <w:highlight w:val="none"/>
              </w:rPr>
              <w:t>报价</w:t>
            </w:r>
          </w:p>
        </w:tc>
        <w:tc>
          <w:tcPr>
            <w:tcW w:w="655" w:type="dxa"/>
            <w:vAlign w:val="center"/>
          </w:tcPr>
          <w:p>
            <w:pPr>
              <w:pStyle w:val="7"/>
              <w:rPr>
                <w:color w:val="auto"/>
                <w:sz w:val="24"/>
                <w:szCs w:val="24"/>
                <w:highlight w:val="none"/>
              </w:rPr>
            </w:pPr>
            <w:r>
              <w:rPr>
                <w:color w:val="auto"/>
                <w:sz w:val="24"/>
                <w:szCs w:val="24"/>
                <w:highlight w:val="none"/>
              </w:rPr>
              <w:t>20</w:t>
            </w:r>
            <w:r>
              <w:rPr>
                <w:rFonts w:hint="eastAsia"/>
                <w:color w:val="auto"/>
                <w:sz w:val="24"/>
                <w:szCs w:val="24"/>
                <w:highlight w:val="none"/>
              </w:rPr>
              <w:t>分</w:t>
            </w:r>
          </w:p>
        </w:tc>
        <w:tc>
          <w:tcPr>
            <w:tcW w:w="6748" w:type="dxa"/>
            <w:vAlign w:val="center"/>
          </w:tcPr>
          <w:p>
            <w:pPr>
              <w:pStyle w:val="10"/>
              <w:ind w:firstLine="0" w:firstLineChars="0"/>
              <w:rPr>
                <w:color w:val="auto"/>
                <w:sz w:val="24"/>
                <w:szCs w:val="24"/>
                <w:highlight w:val="none"/>
              </w:rPr>
            </w:pPr>
            <w:r>
              <w:rPr>
                <w:rFonts w:hint="eastAsia"/>
                <w:color w:val="auto"/>
                <w:sz w:val="24"/>
                <w:szCs w:val="24"/>
                <w:highlight w:val="none"/>
              </w:rPr>
              <w:t>以最高限价作为基准价。基本分</w:t>
            </w:r>
            <w:r>
              <w:rPr>
                <w:color w:val="auto"/>
                <w:sz w:val="24"/>
                <w:szCs w:val="24"/>
                <w:highlight w:val="none"/>
              </w:rPr>
              <w:t>15</w:t>
            </w:r>
            <w:r>
              <w:rPr>
                <w:rFonts w:hint="eastAsia"/>
                <w:color w:val="auto"/>
                <w:sz w:val="24"/>
                <w:szCs w:val="24"/>
                <w:highlight w:val="none"/>
              </w:rPr>
              <w:t>分，最终报价每低于基准价5%加</w:t>
            </w:r>
            <w:r>
              <w:rPr>
                <w:color w:val="auto"/>
                <w:sz w:val="24"/>
                <w:szCs w:val="24"/>
                <w:highlight w:val="none"/>
              </w:rPr>
              <w:t>2</w:t>
            </w:r>
            <w:r>
              <w:rPr>
                <w:rFonts w:hint="eastAsia"/>
                <w:color w:val="auto"/>
                <w:sz w:val="24"/>
                <w:szCs w:val="24"/>
                <w:highlight w:val="none"/>
              </w:rPr>
              <w:t>分（分数采取四舍五入，精确到小数点后两位）。最高分</w:t>
            </w:r>
            <w:r>
              <w:rPr>
                <w:color w:val="auto"/>
                <w:sz w:val="24"/>
                <w:szCs w:val="24"/>
                <w:highlight w:val="none"/>
              </w:rPr>
              <w:t>20</w:t>
            </w:r>
            <w:r>
              <w:rPr>
                <w:rFonts w:hint="eastAsia"/>
                <w:color w:val="auto"/>
                <w:sz w:val="24"/>
                <w:szCs w:val="24"/>
                <w:highlight w:val="none"/>
              </w:rPr>
              <w:t>分。</w:t>
            </w:r>
          </w:p>
        </w:tc>
      </w:tr>
    </w:tbl>
    <w:p>
      <w:pPr>
        <w:pageBreakBefore w:val="0"/>
        <w:kinsoku/>
        <w:overflowPunct/>
        <w:bidi w:val="0"/>
        <w:spacing w:line="360" w:lineRule="auto"/>
        <w:jc w:val="both"/>
        <w:rPr>
          <w:rFonts w:ascii="Times New Roman" w:hAnsi="Times New Roman"/>
          <w:szCs w:val="24"/>
        </w:rPr>
      </w:pPr>
      <w:r>
        <w:rPr>
          <w:rFonts w:hint="eastAsia" w:ascii="宋体" w:hAnsi="宋体"/>
          <w:sz w:val="24"/>
          <w:szCs w:val="24"/>
        </w:rPr>
        <w:t>附件</w:t>
      </w:r>
      <w:r>
        <w:rPr>
          <w:rFonts w:hint="eastAsia" w:ascii="宋体" w:hAnsi="宋体"/>
          <w:sz w:val="24"/>
          <w:szCs w:val="24"/>
          <w:lang w:val="en-US" w:eastAsia="zh-CN"/>
        </w:rPr>
        <w:t>二</w:t>
      </w:r>
      <w:r>
        <w:rPr>
          <w:rFonts w:hint="eastAsia" w:ascii="宋体" w:hAnsi="宋体"/>
          <w:sz w:val="24"/>
          <w:szCs w:val="24"/>
        </w:rPr>
        <w:t>：综合评分办法</w:t>
      </w:r>
      <w:r>
        <w:rPr>
          <w:rFonts w:ascii="Times New Roman" w:hAnsi="Times New Roman"/>
          <w:szCs w:val="24"/>
        </w:rPr>
        <w:t>（供</w:t>
      </w:r>
      <w:r>
        <w:rPr>
          <w:rFonts w:hint="eastAsia" w:ascii="Times New Roman" w:hAnsi="Times New Roman"/>
          <w:szCs w:val="24"/>
          <w:lang w:val="en-US" w:eastAsia="zh-CN"/>
        </w:rPr>
        <w:t>询价小组和报价</w:t>
      </w:r>
      <w:r>
        <w:rPr>
          <w:rFonts w:ascii="Times New Roman" w:hAnsi="Times New Roman"/>
          <w:szCs w:val="24"/>
        </w:rPr>
        <w:t>人参考，</w:t>
      </w:r>
      <w:r>
        <w:rPr>
          <w:rFonts w:hint="eastAsia" w:ascii="Times New Roman" w:hAnsi="Times New Roman"/>
          <w:szCs w:val="24"/>
          <w:lang w:val="en-US" w:eastAsia="zh-CN"/>
        </w:rPr>
        <w:t>报价时</w:t>
      </w:r>
      <w:r>
        <w:rPr>
          <w:rFonts w:ascii="Times New Roman" w:hAnsi="Times New Roman"/>
          <w:szCs w:val="24"/>
        </w:rPr>
        <w:t>不需提</w:t>
      </w:r>
      <w:r>
        <w:rPr>
          <w:rFonts w:hint="eastAsia" w:ascii="Times New Roman" w:hAnsi="Times New Roman"/>
          <w:szCs w:val="24"/>
          <w:lang w:val="en-US" w:eastAsia="zh-CN"/>
        </w:rPr>
        <w:t>供</w:t>
      </w:r>
      <w:r>
        <w:rPr>
          <w:rFonts w:ascii="Times New Roman" w:hAnsi="Times New Roman"/>
          <w:szCs w:val="24"/>
        </w:rPr>
        <w:t>）</w:t>
      </w:r>
    </w:p>
    <w:p>
      <w:pPr>
        <w:numPr>
          <w:ilvl w:val="0"/>
          <w:numId w:val="1"/>
        </w:numPr>
        <w:rPr>
          <w:rFonts w:hint="eastAsia"/>
          <w:lang w:val="en-US" w:eastAsia="zh-CN"/>
        </w:rPr>
      </w:pPr>
      <w:r>
        <w:rPr>
          <w:rFonts w:hint="eastAsia"/>
          <w:lang w:val="en-US" w:eastAsia="zh-CN"/>
        </w:rPr>
        <w:t>评分细则</w:t>
      </w:r>
    </w:p>
    <w:p>
      <w:pPr>
        <w:pStyle w:val="2"/>
        <w:numPr>
          <w:numId w:val="0"/>
        </w:numPr>
        <w:spacing w:after="0" w:line="240" w:lineRule="auto"/>
        <w:ind w:leftChars="0"/>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pStyle w:val="2"/>
        <w:numPr>
          <w:numId w:val="0"/>
        </w:numPr>
        <w:spacing w:after="0" w:line="24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二、评分计算。</w:t>
      </w:r>
    </w:p>
    <w:p>
      <w:pPr>
        <w:pStyle w:val="2"/>
        <w:numPr>
          <w:numId w:val="0"/>
        </w:numPr>
        <w:spacing w:line="360" w:lineRule="auto"/>
        <w:ind w:leftChars="0"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lang w:val="en-US" w:eastAsia="zh-CN"/>
        </w:rPr>
        <w:t>总分100分。</w:t>
      </w:r>
      <w:r>
        <w:rPr>
          <w:rFonts w:ascii="宋体" w:hAnsi="宋体" w:cs="宋体"/>
          <w:sz w:val="24"/>
          <w:szCs w:val="24"/>
        </w:rPr>
        <w:t>各项得分按四舍五入原则精确到小数点后两位。将综合评分由高到低顺序排列。</w:t>
      </w:r>
      <w:r>
        <w:rPr>
          <w:rFonts w:ascii="宋体" w:hAnsi="宋体" w:cs="宋体"/>
          <w:color w:val="000000" w:themeColor="text1"/>
          <w:sz w:val="24"/>
          <w:szCs w:val="24"/>
          <w14:textFill>
            <w14:solidFill>
              <w14:schemeClr w14:val="tx1"/>
            </w14:solidFill>
          </w14:textFill>
        </w:rPr>
        <w:t>综合评分相同的，按</w:t>
      </w:r>
      <w:r>
        <w:rPr>
          <w:rFonts w:hint="eastAsia" w:ascii="宋体" w:hAnsi="宋体" w:cs="宋体"/>
          <w:color w:val="000000" w:themeColor="text1"/>
          <w:sz w:val="24"/>
          <w:szCs w:val="24"/>
          <w:lang w:val="en-US" w:eastAsia="zh-CN"/>
          <w14:textFill>
            <w14:solidFill>
              <w14:schemeClr w14:val="tx1"/>
            </w14:solidFill>
          </w14:textFill>
        </w:rPr>
        <w:t>评标价</w:t>
      </w:r>
      <w:r>
        <w:rPr>
          <w:rFonts w:ascii="宋体" w:hAnsi="宋体" w:cs="宋体"/>
          <w:color w:val="000000" w:themeColor="text1"/>
          <w:sz w:val="24"/>
          <w:szCs w:val="24"/>
          <w14:textFill>
            <w14:solidFill>
              <w14:schemeClr w14:val="tx1"/>
            </w14:solidFill>
          </w14:textFill>
        </w:rPr>
        <w:t>由低到高顺序排列</w:t>
      </w:r>
      <w:r>
        <w:rPr>
          <w:rFonts w:hint="eastAsia" w:ascii="宋体" w:hAnsi="宋体" w:cs="宋体"/>
          <w:color w:val="000000" w:themeColor="text1"/>
          <w:sz w:val="24"/>
          <w:szCs w:val="24"/>
          <w:lang w:val="en-US" w:eastAsia="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综合评分相同，且</w:t>
      </w:r>
      <w:r>
        <w:rPr>
          <w:rFonts w:hint="eastAsia" w:ascii="宋体" w:hAnsi="宋体" w:cs="宋体"/>
          <w:color w:val="000000" w:themeColor="text1"/>
          <w:sz w:val="24"/>
          <w:szCs w:val="24"/>
          <w:lang w:val="en-US" w:eastAsia="zh-CN"/>
          <w14:textFill>
            <w14:solidFill>
              <w14:schemeClr w14:val="tx1"/>
            </w14:solidFill>
          </w14:textFill>
        </w:rPr>
        <w:t>报价评分</w:t>
      </w:r>
      <w:r>
        <w:rPr>
          <w:rFonts w:ascii="宋体" w:hAnsi="宋体" w:cs="宋体"/>
          <w:color w:val="000000" w:themeColor="text1"/>
          <w:sz w:val="24"/>
          <w:szCs w:val="24"/>
          <w14:textFill>
            <w14:solidFill>
              <w14:schemeClr w14:val="tx1"/>
            </w14:solidFill>
          </w14:textFill>
        </w:rPr>
        <w:t>相同的，名次由评标委员会抽签决定。</w:t>
      </w:r>
    </w:p>
    <w:p>
      <w:pPr>
        <w:pStyle w:val="2"/>
        <w:numPr>
          <w:numId w:val="0"/>
        </w:numPr>
        <w:spacing w:line="360" w:lineRule="auto"/>
        <w:ind w:leftChars="0" w:firstLine="480" w:firstLineChars="200"/>
        <w:rPr>
          <w:rFonts w:hint="default" w:ascii="宋体" w:hAnsi="宋体" w:cs="宋体"/>
          <w:color w:val="000000" w:themeColor="text1"/>
          <w:sz w:val="24"/>
          <w:szCs w:val="2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37AE6"/>
    <w:multiLevelType w:val="singleLevel"/>
    <w:tmpl w:val="83737A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F1A0D"/>
    <w:rsid w:val="7BDF1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4"/>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360" w:lineRule="auto"/>
      <w:ind w:left="420" w:leftChars="200"/>
    </w:pPr>
    <w:rPr>
      <w:sz w:val="28"/>
      <w:szCs w:val="28"/>
    </w:rPr>
  </w:style>
  <w:style w:type="paragraph" w:styleId="3">
    <w:name w:val="Body Text Indent"/>
    <w:basedOn w:val="1"/>
    <w:qFormat/>
    <w:uiPriority w:val="0"/>
    <w:pPr>
      <w:spacing w:line="360" w:lineRule="auto"/>
      <w:ind w:firstLine="480"/>
    </w:pPr>
    <w:rPr>
      <w:rFonts w:ascii="Times New Roman" w:hAnsi="Times New Roman"/>
      <w:szCs w:val="20"/>
    </w:r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customStyle="1" w:styleId="7">
    <w:name w:val="表格文字居中"/>
    <w:basedOn w:val="8"/>
    <w:qFormat/>
    <w:uiPriority w:val="0"/>
    <w:pPr>
      <w:spacing w:line="240" w:lineRule="auto"/>
      <w:jc w:val="center"/>
    </w:pPr>
  </w:style>
  <w:style w:type="paragraph" w:customStyle="1" w:styleId="8">
    <w:name w:val="表格参考样式"/>
    <w:basedOn w:val="1"/>
    <w:next w:val="9"/>
    <w:qFormat/>
    <w:uiPriority w:val="0"/>
    <w:pPr>
      <w:widowControl/>
      <w:spacing w:line="300" w:lineRule="auto"/>
    </w:pPr>
  </w:style>
  <w:style w:type="paragraph" w:customStyle="1" w:styleId="9">
    <w:name w:val="正文首行缩进1"/>
    <w:basedOn w:val="1"/>
    <w:qFormat/>
    <w:uiPriority w:val="0"/>
  </w:style>
  <w:style w:type="paragraph" w:customStyle="1" w:styleId="10">
    <w:name w:val="表格文字左缩进"/>
    <w:basedOn w:val="8"/>
    <w:qFormat/>
    <w:uiPriority w:val="0"/>
    <w:pPr>
      <w:ind w:firstLine="200" w:firstLineChars="200"/>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2021-07-04T02:16:00Z</dcterms:created>
  <dc:creator>胡跃</dc:creator>
  <cp:lastModifiedBy>胡跃</cp:lastModifiedBy>
  <dcterms:modified xsi:type="dcterms:W3CDTF">2021-07-04T02:21:15Z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00E2EF36EC9246F482F92246EAD4CAEA</vt:lpwstr>
  </property>
</Properties>
</file>